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47EBA">
      <w:r>
        <w:t>Уточняващ въпрос не се ли припокрива интервенцията  с подпомагането по Агроекология и климат?</w:t>
      </w:r>
    </w:p>
    <w:p w:rsidR="00647EBA" w:rsidRDefault="00647EBA">
      <w:r>
        <w:t>Второ за автохтонни породи ли говорим.</w:t>
      </w:r>
    </w:p>
    <w:p w:rsidR="00647EBA" w:rsidRDefault="00647EBA">
      <w:r>
        <w:t>И предлагаме да се подпомагат до 50 броя такива животни.</w:t>
      </w:r>
    </w:p>
    <w:sectPr w:rsidR="00647E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47EBA"/>
    <w:rsid w:val="00647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</dc:creator>
  <cp:keywords/>
  <dc:description/>
  <cp:lastModifiedBy>Rosen</cp:lastModifiedBy>
  <cp:revision>2</cp:revision>
  <dcterms:created xsi:type="dcterms:W3CDTF">2021-02-03T11:40:00Z</dcterms:created>
  <dcterms:modified xsi:type="dcterms:W3CDTF">2021-02-03T11:44:00Z</dcterms:modified>
</cp:coreProperties>
</file>